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32C97" w14:textId="77777777" w:rsidR="002D660F" w:rsidRDefault="002D660F" w:rsidP="00F75F2D">
      <w:pPr>
        <w:rPr>
          <w:b/>
          <w:sz w:val="28"/>
          <w:szCs w:val="28"/>
        </w:rPr>
      </w:pPr>
    </w:p>
    <w:tbl>
      <w:tblPr>
        <w:tblStyle w:val="TableGrid"/>
        <w:tblW w:w="0" w:type="auto"/>
        <w:tblLook w:val="04A0" w:firstRow="1" w:lastRow="0" w:firstColumn="1" w:lastColumn="0" w:noHBand="0" w:noVBand="1"/>
      </w:tblPr>
      <w:tblGrid>
        <w:gridCol w:w="9016"/>
      </w:tblGrid>
      <w:tr w:rsidR="00DB4121" w:rsidRPr="00DB4121" w14:paraId="789B0866" w14:textId="77777777" w:rsidTr="00DB4121">
        <w:tc>
          <w:tcPr>
            <w:tcW w:w="9016" w:type="dxa"/>
          </w:tcPr>
          <w:p w14:paraId="523266F5"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w:t>
            </w:r>
          </w:p>
          <w:p w14:paraId="72A4B77E" w14:textId="77777777" w:rsidR="00DB4121" w:rsidRDefault="00DB4121" w:rsidP="0086613F">
            <w:pPr>
              <w:jc w:val="both"/>
              <w:rPr>
                <w:rFonts w:cstheme="minorHAnsi"/>
                <w:b/>
                <w:color w:val="000000" w:themeColor="text1"/>
              </w:rPr>
            </w:pPr>
          </w:p>
          <w:p w14:paraId="34204B98" w14:textId="0AC99193" w:rsidR="00DB4121" w:rsidRPr="006C2195" w:rsidRDefault="006C2195" w:rsidP="0086613F">
            <w:pPr>
              <w:jc w:val="both"/>
              <w:rPr>
                <w:rFonts w:cstheme="minorHAnsi"/>
                <w:bCs/>
                <w:color w:val="000000" w:themeColor="text1"/>
              </w:rPr>
            </w:pPr>
            <w:r w:rsidRPr="006C2195">
              <w:rPr>
                <w:rFonts w:cstheme="minorHAnsi"/>
                <w:bCs/>
                <w:color w:val="000000" w:themeColor="text1"/>
              </w:rPr>
              <w:t>Moorfields Eye Hospital National Health Service Foundation Trust</w:t>
            </w:r>
          </w:p>
          <w:p w14:paraId="5600D292" w14:textId="77777777" w:rsidR="00DB4121" w:rsidRPr="00DB4121" w:rsidRDefault="00DB4121" w:rsidP="0086613F">
            <w:pPr>
              <w:jc w:val="both"/>
              <w:rPr>
                <w:rFonts w:cstheme="minorHAnsi"/>
                <w:b/>
                <w:color w:val="000000" w:themeColor="text1"/>
              </w:rPr>
            </w:pPr>
          </w:p>
        </w:tc>
      </w:tr>
      <w:tr w:rsidR="00DB4121" w:rsidRPr="00DB4121" w14:paraId="0ABBB801" w14:textId="77777777" w:rsidTr="00DB4121">
        <w:tc>
          <w:tcPr>
            <w:tcW w:w="9016" w:type="dxa"/>
          </w:tcPr>
          <w:p w14:paraId="6E9E1754"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Locations</w:t>
            </w:r>
          </w:p>
          <w:p w14:paraId="41F1EF78" w14:textId="77777777" w:rsidR="00DB4121" w:rsidRDefault="00DB4121" w:rsidP="0086613F">
            <w:pPr>
              <w:jc w:val="both"/>
              <w:rPr>
                <w:rFonts w:cstheme="minorHAnsi"/>
                <w:b/>
                <w:color w:val="000000" w:themeColor="text1"/>
              </w:rPr>
            </w:pPr>
          </w:p>
          <w:p w14:paraId="17056569" w14:textId="4901ABFB" w:rsidR="006C2195" w:rsidRPr="006C2195" w:rsidRDefault="006C2195" w:rsidP="0086613F">
            <w:pPr>
              <w:jc w:val="both"/>
              <w:rPr>
                <w:rFonts w:cstheme="minorHAnsi"/>
                <w:bCs/>
                <w:color w:val="000000" w:themeColor="text1"/>
              </w:rPr>
            </w:pPr>
            <w:r w:rsidRPr="006C2195">
              <w:rPr>
                <w:rFonts w:cstheme="minorHAnsi"/>
                <w:bCs/>
                <w:color w:val="000000" w:themeColor="text1"/>
              </w:rPr>
              <w:t>Primarily Central London</w:t>
            </w:r>
            <w:r w:rsidR="003A0148">
              <w:rPr>
                <w:rFonts w:cstheme="minorHAnsi"/>
                <w:bCs/>
                <w:color w:val="000000" w:themeColor="text1"/>
              </w:rPr>
              <w:t xml:space="preserve"> based </w:t>
            </w:r>
            <w:r w:rsidR="00EC6BD3">
              <w:rPr>
                <w:rFonts w:cstheme="minorHAnsi"/>
                <w:bCs/>
                <w:color w:val="000000" w:themeColor="text1"/>
              </w:rPr>
              <w:t>at</w:t>
            </w:r>
            <w:r w:rsidR="003A0148">
              <w:rPr>
                <w:rFonts w:cstheme="minorHAnsi"/>
                <w:bCs/>
                <w:color w:val="000000" w:themeColor="text1"/>
              </w:rPr>
              <w:t xml:space="preserve"> our City Road Campus, EC1V 2PD</w:t>
            </w:r>
            <w:r w:rsidRPr="006C2195">
              <w:rPr>
                <w:rFonts w:cstheme="minorHAnsi"/>
                <w:bCs/>
                <w:color w:val="000000" w:themeColor="text1"/>
              </w:rPr>
              <w:t xml:space="preserve"> (with opportunity to m</w:t>
            </w:r>
            <w:bookmarkStart w:id="0" w:name="_GoBack"/>
            <w:bookmarkEnd w:id="0"/>
            <w:r w:rsidRPr="006C2195">
              <w:rPr>
                <w:rFonts w:cstheme="minorHAnsi"/>
                <w:bCs/>
                <w:color w:val="000000" w:themeColor="text1"/>
              </w:rPr>
              <w:t>ove around within M25)</w:t>
            </w:r>
          </w:p>
          <w:p w14:paraId="797CB578" w14:textId="77777777" w:rsidR="00DB4121" w:rsidRDefault="00DB4121" w:rsidP="0086613F">
            <w:pPr>
              <w:jc w:val="both"/>
              <w:rPr>
                <w:rFonts w:cstheme="minorHAnsi"/>
                <w:b/>
                <w:color w:val="000000" w:themeColor="text1"/>
              </w:rPr>
            </w:pPr>
          </w:p>
          <w:p w14:paraId="404AA57E" w14:textId="77777777" w:rsidR="00DB4121" w:rsidRPr="00DB4121" w:rsidRDefault="00DB4121" w:rsidP="0086613F">
            <w:pPr>
              <w:jc w:val="both"/>
              <w:rPr>
                <w:rFonts w:cstheme="minorHAnsi"/>
                <w:b/>
                <w:color w:val="000000" w:themeColor="text1"/>
              </w:rPr>
            </w:pPr>
          </w:p>
        </w:tc>
      </w:tr>
      <w:tr w:rsidR="00DB4121" w:rsidRPr="00DB4121" w14:paraId="4168E17D" w14:textId="77777777" w:rsidTr="00DB4121">
        <w:tc>
          <w:tcPr>
            <w:tcW w:w="9016" w:type="dxa"/>
          </w:tcPr>
          <w:p w14:paraId="5E8EC10C"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Line Manager</w:t>
            </w:r>
          </w:p>
          <w:p w14:paraId="64766064" w14:textId="77777777" w:rsidR="00DB4121" w:rsidRDefault="00DB4121" w:rsidP="0086613F">
            <w:pPr>
              <w:jc w:val="both"/>
              <w:rPr>
                <w:rFonts w:cstheme="minorHAnsi"/>
                <w:color w:val="000000" w:themeColor="text1"/>
              </w:rPr>
            </w:pPr>
          </w:p>
          <w:p w14:paraId="7C29FCC3" w14:textId="58ED7094" w:rsidR="006C2195" w:rsidRDefault="006C2195" w:rsidP="0086613F">
            <w:pPr>
              <w:jc w:val="both"/>
              <w:rPr>
                <w:rFonts w:cstheme="minorHAnsi"/>
                <w:color w:val="000000" w:themeColor="text1"/>
              </w:rPr>
            </w:pPr>
            <w:r>
              <w:rPr>
                <w:rFonts w:cstheme="minorHAnsi"/>
                <w:color w:val="000000" w:themeColor="text1"/>
              </w:rPr>
              <w:t>Head of Estates (Hard FM)</w:t>
            </w:r>
          </w:p>
          <w:p w14:paraId="2590DC87" w14:textId="77777777" w:rsidR="006C2195" w:rsidRPr="00DB4121" w:rsidRDefault="006C2195" w:rsidP="0086613F">
            <w:pPr>
              <w:jc w:val="both"/>
              <w:rPr>
                <w:rFonts w:cstheme="minorHAnsi"/>
                <w:color w:val="000000" w:themeColor="text1"/>
              </w:rPr>
            </w:pPr>
          </w:p>
        </w:tc>
      </w:tr>
      <w:tr w:rsidR="00DB4121" w:rsidRPr="00DB4121" w14:paraId="270D7EE4" w14:textId="77777777" w:rsidTr="00DB4121">
        <w:tc>
          <w:tcPr>
            <w:tcW w:w="9016" w:type="dxa"/>
          </w:tcPr>
          <w:p w14:paraId="6F9F45F5"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 and Role Description</w:t>
            </w:r>
          </w:p>
          <w:p w14:paraId="4C4BC822" w14:textId="77777777" w:rsidR="00DB4121" w:rsidRDefault="00DB4121" w:rsidP="0086613F">
            <w:pPr>
              <w:jc w:val="both"/>
              <w:rPr>
                <w:rFonts w:cstheme="minorHAnsi"/>
                <w:b/>
                <w:color w:val="000000" w:themeColor="text1"/>
              </w:rPr>
            </w:pPr>
          </w:p>
          <w:p w14:paraId="5D75083F" w14:textId="77777777" w:rsidR="006C2195" w:rsidRDefault="006C2195" w:rsidP="006C2195">
            <w:pPr>
              <w:jc w:val="both"/>
              <w:rPr>
                <w:rFonts w:cstheme="minorHAnsi"/>
                <w:bCs/>
                <w:color w:val="000000" w:themeColor="text1"/>
              </w:rPr>
            </w:pPr>
            <w:r w:rsidRPr="006C2195">
              <w:rPr>
                <w:rFonts w:cstheme="minorHAnsi"/>
                <w:bCs/>
                <w:color w:val="000000" w:themeColor="text1"/>
              </w:rPr>
              <w:t>Moorfields is the leading provider of eye health services in the UK and a world-class centre of excellence for ophthalmic research and education. We have a reputation, developed over two centuries, for providing the highest quality of ophthalmic care, which our 2,300 staff are committed to sustaining and building on.</w:t>
            </w:r>
          </w:p>
          <w:p w14:paraId="703F5D58" w14:textId="77777777" w:rsidR="00EC6BD3" w:rsidRPr="006C2195" w:rsidRDefault="00EC6BD3" w:rsidP="006C2195">
            <w:pPr>
              <w:jc w:val="both"/>
              <w:rPr>
                <w:rFonts w:cstheme="minorHAnsi"/>
                <w:bCs/>
                <w:color w:val="000000" w:themeColor="text1"/>
              </w:rPr>
            </w:pPr>
          </w:p>
          <w:p w14:paraId="6DCA3173" w14:textId="22B0A63F" w:rsidR="006C2195" w:rsidRDefault="00EC6BD3" w:rsidP="00EC6BD3">
            <w:pPr>
              <w:jc w:val="both"/>
              <w:rPr>
                <w:rFonts w:cstheme="minorHAnsi"/>
                <w:bCs/>
                <w:color w:val="000000" w:themeColor="text1"/>
              </w:rPr>
            </w:pPr>
            <w:r w:rsidRPr="00EC6BD3">
              <w:rPr>
                <w:rFonts w:cstheme="minorHAnsi"/>
                <w:bCs/>
                <w:color w:val="000000" w:themeColor="text1"/>
              </w:rPr>
              <w:t xml:space="preserve">At the very heart of our new strategy, we have reaffirmed our core belief that </w:t>
            </w:r>
            <w:r w:rsidRPr="00EC6BD3">
              <w:rPr>
                <w:rFonts w:cstheme="minorHAnsi"/>
                <w:b/>
                <w:i/>
                <w:iCs/>
                <w:color w:val="000000" w:themeColor="text1"/>
              </w:rPr>
              <w:t xml:space="preserve">people’s sight matters. </w:t>
            </w:r>
            <w:r w:rsidRPr="00EC6BD3">
              <w:rPr>
                <w:rFonts w:cstheme="minorHAnsi"/>
                <w:bCs/>
                <w:color w:val="000000" w:themeColor="text1"/>
              </w:rPr>
              <w:t>No matter what your role at Moorfields is, we each come to work because we want to make a difference to the often distressing and isolating experience of people who are losing sight or having serious disturbances of vision.</w:t>
            </w:r>
          </w:p>
          <w:p w14:paraId="3CFD689D" w14:textId="77777777" w:rsidR="00EC6BD3" w:rsidRPr="006C2195" w:rsidRDefault="00EC6BD3" w:rsidP="00EC6BD3">
            <w:pPr>
              <w:jc w:val="both"/>
              <w:rPr>
                <w:rFonts w:cstheme="minorHAnsi"/>
                <w:bCs/>
                <w:color w:val="000000" w:themeColor="text1"/>
              </w:rPr>
            </w:pPr>
          </w:p>
          <w:p w14:paraId="7922AAD8" w14:textId="77777777" w:rsidR="006C2195" w:rsidRPr="006C2195" w:rsidRDefault="006C2195" w:rsidP="006C2195">
            <w:pPr>
              <w:jc w:val="both"/>
              <w:rPr>
                <w:rFonts w:cstheme="minorHAnsi"/>
                <w:b/>
                <w:color w:val="000000" w:themeColor="text1"/>
              </w:rPr>
            </w:pPr>
            <w:r w:rsidRPr="006C2195">
              <w:rPr>
                <w:rFonts w:cstheme="minorHAnsi"/>
                <w:b/>
                <w:color w:val="000000" w:themeColor="text1"/>
              </w:rPr>
              <w:t>The best in modern clinical care</w:t>
            </w:r>
          </w:p>
          <w:p w14:paraId="3071C31B" w14:textId="4FB9A7C1" w:rsidR="006C2195" w:rsidRPr="006C2195" w:rsidRDefault="006C2195" w:rsidP="006C2195">
            <w:pPr>
              <w:jc w:val="both"/>
              <w:rPr>
                <w:rFonts w:cstheme="minorHAnsi"/>
                <w:bCs/>
                <w:color w:val="000000" w:themeColor="text1"/>
              </w:rPr>
            </w:pPr>
            <w:r w:rsidRPr="006C2195">
              <w:rPr>
                <w:rFonts w:cstheme="minorHAnsi"/>
                <w:bCs/>
                <w:color w:val="000000" w:themeColor="text1"/>
              </w:rPr>
              <w:t xml:space="preserve">Our focus is the treatment and care of NHS patients with a wide range of eye problems. These range from common to rare conditions which need treatments unavailable anywhere else in the UK. We treat patients across our network of 22 NHS </w:t>
            </w:r>
            <w:r>
              <w:rPr>
                <w:rFonts w:cstheme="minorHAnsi"/>
                <w:bCs/>
                <w:color w:val="000000" w:themeColor="text1"/>
              </w:rPr>
              <w:t xml:space="preserve">and 4 Private </w:t>
            </w:r>
            <w:r w:rsidRPr="006C2195">
              <w:rPr>
                <w:rFonts w:cstheme="minorHAnsi"/>
                <w:bCs/>
                <w:color w:val="000000" w:themeColor="text1"/>
              </w:rPr>
              <w:t xml:space="preserve">sites, </w:t>
            </w:r>
            <w:r>
              <w:rPr>
                <w:rFonts w:cstheme="minorHAnsi"/>
                <w:bCs/>
                <w:color w:val="000000" w:themeColor="text1"/>
              </w:rPr>
              <w:t xml:space="preserve">most of which are within the M25, </w:t>
            </w:r>
            <w:r w:rsidRPr="006C2195">
              <w:rPr>
                <w:rFonts w:cstheme="minorHAnsi"/>
                <w:bCs/>
                <w:color w:val="000000" w:themeColor="text1"/>
              </w:rPr>
              <w:t xml:space="preserve">which allows us to provide first-class expert care and treatment closer to patients' homes. We have contracts with integrated care boards across the country, making us a truly national centre for eye care. </w:t>
            </w:r>
          </w:p>
          <w:p w14:paraId="7276A1AB" w14:textId="6A0CCA65" w:rsidR="006C2195" w:rsidRPr="006C2195" w:rsidRDefault="006C2195" w:rsidP="006C2195">
            <w:pPr>
              <w:jc w:val="both"/>
              <w:rPr>
                <w:rFonts w:cstheme="minorHAnsi"/>
                <w:bCs/>
                <w:color w:val="000000" w:themeColor="text1"/>
              </w:rPr>
            </w:pPr>
            <w:r w:rsidRPr="006C2195">
              <w:rPr>
                <w:rFonts w:cstheme="minorHAnsi"/>
                <w:bCs/>
                <w:color w:val="000000" w:themeColor="text1"/>
              </w:rPr>
              <w:t xml:space="preserve"> </w:t>
            </w:r>
          </w:p>
          <w:p w14:paraId="4C250F63" w14:textId="77777777" w:rsidR="006C2195" w:rsidRPr="006C2195" w:rsidRDefault="006C2195" w:rsidP="006C2195">
            <w:pPr>
              <w:jc w:val="both"/>
              <w:rPr>
                <w:rFonts w:cstheme="minorHAnsi"/>
                <w:b/>
                <w:color w:val="000000" w:themeColor="text1"/>
              </w:rPr>
            </w:pPr>
            <w:r w:rsidRPr="006C2195">
              <w:rPr>
                <w:rFonts w:cstheme="minorHAnsi"/>
                <w:b/>
                <w:color w:val="000000" w:themeColor="text1"/>
              </w:rPr>
              <w:t>Pioneering new research</w:t>
            </w:r>
          </w:p>
          <w:p w14:paraId="12498B35" w14:textId="44CC22F4" w:rsidR="00DB4121" w:rsidRPr="006C2195" w:rsidRDefault="006C2195" w:rsidP="006C2195">
            <w:pPr>
              <w:jc w:val="both"/>
              <w:rPr>
                <w:rFonts w:cstheme="minorHAnsi"/>
                <w:bCs/>
                <w:color w:val="000000" w:themeColor="text1"/>
              </w:rPr>
            </w:pPr>
            <w:r w:rsidRPr="006C2195">
              <w:rPr>
                <w:rFonts w:cstheme="minorHAnsi"/>
                <w:bCs/>
                <w:color w:val="000000" w:themeColor="text1"/>
              </w:rPr>
              <w:t>With our partners at the UCL Institute of Ophthalmology, we are a national and international centre for research into eye conditions and treatments, leading one of the strongest and most extensive ophthalmic research programmes in the world. Together, we have one of the highest measures of scientific productivity and impact in the world for eye research activity.</w:t>
            </w:r>
          </w:p>
          <w:p w14:paraId="2A6E3557" w14:textId="77777777" w:rsidR="00DB4121" w:rsidRDefault="00DB4121" w:rsidP="0086613F">
            <w:pPr>
              <w:jc w:val="both"/>
              <w:rPr>
                <w:rFonts w:cstheme="minorHAnsi"/>
                <w:b/>
                <w:color w:val="000000" w:themeColor="text1"/>
              </w:rPr>
            </w:pPr>
          </w:p>
          <w:p w14:paraId="0BACAC48" w14:textId="77777777" w:rsidR="006C2195" w:rsidRPr="006C2195" w:rsidRDefault="006C2195" w:rsidP="006C2195">
            <w:pPr>
              <w:jc w:val="both"/>
              <w:rPr>
                <w:rFonts w:cstheme="minorHAnsi"/>
                <w:b/>
                <w:color w:val="000000" w:themeColor="text1"/>
              </w:rPr>
            </w:pPr>
            <w:r w:rsidRPr="006C2195">
              <w:rPr>
                <w:rFonts w:cstheme="minorHAnsi"/>
                <w:b/>
                <w:color w:val="000000" w:themeColor="text1"/>
              </w:rPr>
              <w:t>Project Oriel</w:t>
            </w:r>
          </w:p>
          <w:p w14:paraId="25ED6A07" w14:textId="0BBBF359" w:rsidR="006C2195" w:rsidRPr="006C2195" w:rsidRDefault="006C2195" w:rsidP="006C2195">
            <w:pPr>
              <w:jc w:val="both"/>
              <w:rPr>
                <w:rFonts w:cstheme="minorHAnsi"/>
                <w:bCs/>
                <w:color w:val="000000" w:themeColor="text1"/>
              </w:rPr>
            </w:pPr>
            <w:r w:rsidRPr="006C2195">
              <w:rPr>
                <w:rFonts w:cstheme="minorHAnsi"/>
                <w:bCs/>
                <w:color w:val="000000" w:themeColor="text1"/>
              </w:rPr>
              <w:t xml:space="preserve">Oriel is the </w:t>
            </w:r>
            <w:r w:rsidR="003A0148" w:rsidRPr="006C2195">
              <w:rPr>
                <w:rFonts w:cstheme="minorHAnsi"/>
                <w:bCs/>
                <w:color w:val="000000" w:themeColor="text1"/>
              </w:rPr>
              <w:t>partnership</w:t>
            </w:r>
            <w:r w:rsidRPr="006C2195">
              <w:rPr>
                <w:rFonts w:cstheme="minorHAnsi"/>
                <w:bCs/>
                <w:color w:val="000000" w:themeColor="text1"/>
              </w:rPr>
              <w:t xml:space="preserve"> between Moorfields Eye Hospital NHS Foundation Trust, the UCL Institute of Ophthalmology (IoO) and Moorfields Eye Charity that will move services from </w:t>
            </w:r>
            <w:r w:rsidR="003A0148">
              <w:rPr>
                <w:rFonts w:cstheme="minorHAnsi"/>
                <w:bCs/>
                <w:color w:val="000000" w:themeColor="text1"/>
              </w:rPr>
              <w:t>City Road</w:t>
            </w:r>
            <w:r w:rsidRPr="006C2195">
              <w:rPr>
                <w:rFonts w:cstheme="minorHAnsi"/>
                <w:bCs/>
                <w:color w:val="000000" w:themeColor="text1"/>
              </w:rPr>
              <w:t xml:space="preserve"> to a new, integrated centre in St Pancras, Camden</w:t>
            </w:r>
            <w:r w:rsidR="00EC6BD3">
              <w:rPr>
                <w:rFonts w:cstheme="minorHAnsi"/>
                <w:bCs/>
                <w:color w:val="000000" w:themeColor="text1"/>
              </w:rPr>
              <w:t xml:space="preserve"> in 2027</w:t>
            </w:r>
            <w:r w:rsidRPr="006C2195">
              <w:rPr>
                <w:rFonts w:cstheme="minorHAnsi"/>
                <w:bCs/>
                <w:color w:val="000000" w:themeColor="text1"/>
              </w:rPr>
              <w:t>.</w:t>
            </w:r>
          </w:p>
          <w:p w14:paraId="6C3C03E0" w14:textId="77777777" w:rsidR="00EC6BD3" w:rsidRDefault="00EC6BD3" w:rsidP="006C2195">
            <w:pPr>
              <w:jc w:val="both"/>
              <w:rPr>
                <w:rFonts w:cstheme="minorHAnsi"/>
                <w:bCs/>
                <w:color w:val="000000" w:themeColor="text1"/>
              </w:rPr>
            </w:pPr>
          </w:p>
          <w:p w14:paraId="1E420AF9" w14:textId="60A31A7C" w:rsidR="006C2195" w:rsidRDefault="006C2195" w:rsidP="006C2195">
            <w:pPr>
              <w:jc w:val="both"/>
              <w:rPr>
                <w:rFonts w:cstheme="minorHAnsi"/>
                <w:bCs/>
                <w:color w:val="000000" w:themeColor="text1"/>
              </w:rPr>
            </w:pPr>
            <w:r w:rsidRPr="006C2195">
              <w:rPr>
                <w:rFonts w:cstheme="minorHAnsi"/>
                <w:bCs/>
                <w:color w:val="000000" w:themeColor="text1"/>
              </w:rPr>
              <w:lastRenderedPageBreak/>
              <w:t>This is our opportunity to create a world-leading centre for advancing eye health that is keeping with the excellence of our talented workforce. Harnessing the expertise of the partners under one roof will enable us to deliver the highest-quality care, research and education.</w:t>
            </w:r>
          </w:p>
          <w:p w14:paraId="68AFE11E" w14:textId="77777777" w:rsidR="00EC6BD3" w:rsidRPr="006C2195" w:rsidRDefault="00EC6BD3" w:rsidP="006C2195">
            <w:pPr>
              <w:jc w:val="both"/>
              <w:rPr>
                <w:rFonts w:cstheme="minorHAnsi"/>
                <w:bCs/>
                <w:color w:val="000000" w:themeColor="text1"/>
              </w:rPr>
            </w:pPr>
          </w:p>
          <w:p w14:paraId="61011036" w14:textId="653FAE82" w:rsidR="00DB4121" w:rsidRDefault="006C2195" w:rsidP="006C2195">
            <w:pPr>
              <w:jc w:val="both"/>
              <w:rPr>
                <w:rFonts w:cstheme="minorHAnsi"/>
                <w:bCs/>
                <w:color w:val="000000" w:themeColor="text1"/>
              </w:rPr>
            </w:pPr>
            <w:r w:rsidRPr="006C2195">
              <w:rPr>
                <w:rFonts w:cstheme="minorHAnsi"/>
                <w:bCs/>
                <w:color w:val="000000" w:themeColor="text1"/>
              </w:rPr>
              <w:t>Moving to this area will bring us closer to other important health and research partners including the Bloombsury campus of UCL, the Francis Crick Institute, University College London Hospital, and Great Ormond Street Hospital. We also would seek to become a member of the London Knowledge Quarter – organisations that are within one-mile radius of King’s Cross that are actively engaged in the advancement and dissemination of knowledge.</w:t>
            </w:r>
          </w:p>
          <w:p w14:paraId="72A1B0ED" w14:textId="77777777" w:rsidR="003A0148" w:rsidRDefault="003A0148" w:rsidP="006C2195">
            <w:pPr>
              <w:jc w:val="both"/>
              <w:rPr>
                <w:rFonts w:cstheme="minorHAnsi"/>
                <w:bCs/>
                <w:color w:val="000000" w:themeColor="text1"/>
              </w:rPr>
            </w:pPr>
          </w:p>
          <w:p w14:paraId="5B4B2CB9" w14:textId="75D590E4" w:rsidR="003A0148" w:rsidRPr="003A0148" w:rsidRDefault="003A0148" w:rsidP="006C2195">
            <w:pPr>
              <w:jc w:val="both"/>
              <w:rPr>
                <w:rFonts w:cstheme="minorHAnsi"/>
                <w:b/>
                <w:color w:val="000000" w:themeColor="text1"/>
              </w:rPr>
            </w:pPr>
            <w:r w:rsidRPr="003A0148">
              <w:rPr>
                <w:rFonts w:cstheme="minorHAnsi"/>
                <w:b/>
                <w:color w:val="000000" w:themeColor="text1"/>
              </w:rPr>
              <w:t>Smart Building</w:t>
            </w:r>
          </w:p>
          <w:p w14:paraId="1CFDD0F1" w14:textId="51EBB2A6" w:rsidR="003A0148" w:rsidRDefault="003A0148" w:rsidP="006C2195">
            <w:pPr>
              <w:jc w:val="both"/>
              <w:rPr>
                <w:rFonts w:cstheme="minorHAnsi"/>
                <w:b/>
                <w:color w:val="000000" w:themeColor="text1"/>
              </w:rPr>
            </w:pPr>
            <w:r>
              <w:rPr>
                <w:rFonts w:cstheme="minorHAnsi"/>
                <w:bCs/>
                <w:color w:val="000000" w:themeColor="text1"/>
              </w:rPr>
              <w:t>The new facility not only incorporates greener technologies free f</w:t>
            </w:r>
            <w:r w:rsidR="00EC6BD3">
              <w:rPr>
                <w:rFonts w:cstheme="minorHAnsi"/>
                <w:bCs/>
                <w:color w:val="000000" w:themeColor="text1"/>
              </w:rPr>
              <w:t>ro</w:t>
            </w:r>
            <w:r>
              <w:rPr>
                <w:rFonts w:cstheme="minorHAnsi"/>
                <w:bCs/>
                <w:color w:val="000000" w:themeColor="text1"/>
              </w:rPr>
              <w:t xml:space="preserve">m fossil fuels but also leading -edge building infrastructure control systems. Paired with building analytics and task management systems, the building will showcase the smart approach to delivering estates engineering and facilities management (EFM) services. </w:t>
            </w:r>
          </w:p>
          <w:p w14:paraId="00D7DE02" w14:textId="76C901E7" w:rsidR="00DB4121" w:rsidRPr="003A0148" w:rsidRDefault="003A0148" w:rsidP="0086613F">
            <w:pPr>
              <w:jc w:val="both"/>
              <w:rPr>
                <w:rFonts w:cstheme="minorHAnsi"/>
                <w:bCs/>
                <w:color w:val="000000" w:themeColor="text1"/>
              </w:rPr>
            </w:pPr>
            <w:r w:rsidRPr="003A0148">
              <w:rPr>
                <w:rFonts w:cstheme="minorHAnsi"/>
                <w:bCs/>
                <w:color w:val="000000" w:themeColor="text1"/>
              </w:rPr>
              <w:t>Alongside this, integration of clinical digital systems with FM infrastructure systems, including dynamic digital twins, will allow efficiencies and productivity to be modelled truly driving forward a modern approach to research and healthcare.</w:t>
            </w:r>
          </w:p>
          <w:p w14:paraId="746CA5E6" w14:textId="77777777" w:rsidR="00DB4121" w:rsidRDefault="00DB4121" w:rsidP="0086613F">
            <w:pPr>
              <w:jc w:val="both"/>
              <w:rPr>
                <w:rFonts w:cstheme="minorHAnsi"/>
                <w:b/>
                <w:color w:val="000000" w:themeColor="text1"/>
              </w:rPr>
            </w:pPr>
          </w:p>
          <w:p w14:paraId="24237006" w14:textId="59F542DD" w:rsidR="00685D72" w:rsidRDefault="003A0148" w:rsidP="0086613F">
            <w:pPr>
              <w:jc w:val="both"/>
              <w:rPr>
                <w:rFonts w:cstheme="minorHAnsi"/>
                <w:bCs/>
                <w:color w:val="000000" w:themeColor="text1"/>
              </w:rPr>
            </w:pPr>
            <w:r w:rsidRPr="00685D72">
              <w:rPr>
                <w:rFonts w:cstheme="minorHAnsi"/>
                <w:bCs/>
                <w:color w:val="000000" w:themeColor="text1"/>
              </w:rPr>
              <w:t>The existing</w:t>
            </w:r>
            <w:r w:rsidR="00685D72" w:rsidRPr="00685D72">
              <w:rPr>
                <w:rFonts w:cstheme="minorHAnsi"/>
                <w:bCs/>
                <w:color w:val="000000" w:themeColor="text1"/>
              </w:rPr>
              <w:t>, 30 strong</w:t>
            </w:r>
            <w:r w:rsidRPr="00685D72">
              <w:rPr>
                <w:rFonts w:cstheme="minorHAnsi"/>
                <w:bCs/>
                <w:color w:val="000000" w:themeColor="text1"/>
              </w:rPr>
              <w:t xml:space="preserve"> EFM team will be transitioning </w:t>
            </w:r>
            <w:r w:rsidR="00EC6BD3">
              <w:rPr>
                <w:rFonts w:cstheme="minorHAnsi"/>
                <w:bCs/>
                <w:color w:val="000000" w:themeColor="text1"/>
              </w:rPr>
              <w:t xml:space="preserve">over the next three years </w:t>
            </w:r>
            <w:r w:rsidRPr="00685D72">
              <w:rPr>
                <w:rFonts w:cstheme="minorHAnsi"/>
                <w:bCs/>
                <w:color w:val="000000" w:themeColor="text1"/>
              </w:rPr>
              <w:t>alongside this exciting chapter in Moorfields history, as we move from traditional 120-year-old facilities to the new digitally enabled building in St Pancras. The</w:t>
            </w:r>
            <w:r w:rsidR="00685D72" w:rsidRPr="00685D72">
              <w:rPr>
                <w:rFonts w:cstheme="minorHAnsi"/>
                <w:bCs/>
                <w:color w:val="000000" w:themeColor="text1"/>
              </w:rPr>
              <w:t xml:space="preserve"> team is being built around the</w:t>
            </w:r>
            <w:r w:rsidRPr="00685D72">
              <w:rPr>
                <w:rFonts w:cstheme="minorHAnsi"/>
                <w:bCs/>
                <w:color w:val="000000" w:themeColor="text1"/>
              </w:rPr>
              <w:t xml:space="preserve"> increasing need for data and </w:t>
            </w:r>
            <w:r w:rsidR="00685D72" w:rsidRPr="00685D72">
              <w:rPr>
                <w:rFonts w:cstheme="minorHAnsi"/>
                <w:bCs/>
                <w:color w:val="000000" w:themeColor="text1"/>
              </w:rPr>
              <w:t>evidence-based</w:t>
            </w:r>
            <w:r w:rsidRPr="00685D72">
              <w:rPr>
                <w:rFonts w:cstheme="minorHAnsi"/>
                <w:bCs/>
                <w:color w:val="000000" w:themeColor="text1"/>
              </w:rPr>
              <w:t xml:space="preserve"> engineering system management</w:t>
            </w:r>
            <w:r w:rsidR="00685D72" w:rsidRPr="00685D72">
              <w:rPr>
                <w:rFonts w:cstheme="minorHAnsi"/>
                <w:bCs/>
                <w:color w:val="000000" w:themeColor="text1"/>
              </w:rPr>
              <w:t xml:space="preserve"> and bringing in new graduate engineers supplements the traditionally skilled workforce. Mentoring by Chartered Engineers with 30+ years in healthcare engineering alongside Facilities Managers from the private sector provides a well-rounded experience baseline for new team members to draw on.</w:t>
            </w:r>
          </w:p>
          <w:p w14:paraId="0D3A86D4" w14:textId="77777777" w:rsidR="00EC6BD3" w:rsidRDefault="00EC6BD3" w:rsidP="0086613F">
            <w:pPr>
              <w:jc w:val="both"/>
              <w:rPr>
                <w:rFonts w:cstheme="minorHAnsi"/>
                <w:bCs/>
                <w:color w:val="000000" w:themeColor="text1"/>
              </w:rPr>
            </w:pPr>
          </w:p>
          <w:p w14:paraId="29179D7F" w14:textId="2B80A0E9" w:rsidR="00EC6BD3" w:rsidRPr="00685D72" w:rsidRDefault="00EC6BD3" w:rsidP="0086613F">
            <w:pPr>
              <w:jc w:val="both"/>
              <w:rPr>
                <w:rFonts w:cstheme="minorHAnsi"/>
                <w:bCs/>
                <w:color w:val="000000" w:themeColor="text1"/>
              </w:rPr>
            </w:pPr>
            <w:r>
              <w:rPr>
                <w:rFonts w:cstheme="minorHAnsi"/>
                <w:bCs/>
                <w:color w:val="000000" w:themeColor="text1"/>
              </w:rPr>
              <w:t xml:space="preserve">The existing facilities provide access to traditional building services including </w:t>
            </w:r>
            <w:r w:rsidR="006A5C4F">
              <w:rPr>
                <w:rFonts w:cstheme="minorHAnsi"/>
                <w:bCs/>
                <w:color w:val="000000" w:themeColor="text1"/>
              </w:rPr>
              <w:t>gas fired boiler and CHP plant, cooling towers, air cooled chillers and air handling plant. All of which needs maintaining to match levels of criticality driven by the clinical need, Health technical Memorandums (HTM’s) and legislation.</w:t>
            </w:r>
            <w:r>
              <w:rPr>
                <w:rFonts w:cstheme="minorHAnsi"/>
                <w:bCs/>
                <w:color w:val="000000" w:themeColor="text1"/>
              </w:rPr>
              <w:t xml:space="preserve"> </w:t>
            </w:r>
            <w:r w:rsidR="006A5C4F">
              <w:rPr>
                <w:rFonts w:cstheme="minorHAnsi"/>
                <w:bCs/>
                <w:color w:val="000000" w:themeColor="text1"/>
              </w:rPr>
              <w:t>It is expected the graduate engineer will become competent in understanding these systems and promote efficient problem solving amidst longer term solutions.</w:t>
            </w:r>
          </w:p>
          <w:p w14:paraId="10EA3A31" w14:textId="77777777" w:rsidR="00685D72" w:rsidRPr="00685D72" w:rsidRDefault="00685D72" w:rsidP="0086613F">
            <w:pPr>
              <w:jc w:val="both"/>
              <w:rPr>
                <w:rFonts w:cstheme="minorHAnsi"/>
                <w:bCs/>
                <w:color w:val="000000" w:themeColor="text1"/>
              </w:rPr>
            </w:pPr>
          </w:p>
          <w:p w14:paraId="142DBCC4" w14:textId="39AF6CD7" w:rsidR="00EC6BD3" w:rsidRPr="00685D72" w:rsidRDefault="00685D72" w:rsidP="0086613F">
            <w:pPr>
              <w:jc w:val="both"/>
              <w:rPr>
                <w:rFonts w:cstheme="minorHAnsi"/>
                <w:bCs/>
                <w:color w:val="000000" w:themeColor="text1"/>
              </w:rPr>
            </w:pPr>
            <w:r w:rsidRPr="00685D72">
              <w:rPr>
                <w:rFonts w:cstheme="minorHAnsi"/>
                <w:bCs/>
                <w:color w:val="000000" w:themeColor="text1"/>
              </w:rPr>
              <w:t>The new facility provides a springboard for any ambitious future Chartered Engineer to learn new technologies amongst an established team of</w:t>
            </w:r>
            <w:r>
              <w:rPr>
                <w:rFonts w:cstheme="minorHAnsi"/>
                <w:bCs/>
                <w:color w:val="000000" w:themeColor="text1"/>
              </w:rPr>
              <w:t xml:space="preserve"> engineering staff who will all be learning the building and systems together, creating safe systems of work, operating procedures and maintenance scheduling built around data analytics. The team aspires to running predictive maintenance driven by trend analysis of real time and historical evidence. </w:t>
            </w:r>
            <w:r w:rsidRPr="00685D72">
              <w:rPr>
                <w:rFonts w:cstheme="minorHAnsi"/>
                <w:bCs/>
                <w:color w:val="000000" w:themeColor="text1"/>
              </w:rPr>
              <w:t xml:space="preserve"> </w:t>
            </w:r>
            <w:r w:rsidR="003A0148" w:rsidRPr="00685D72">
              <w:rPr>
                <w:rFonts w:cstheme="minorHAnsi"/>
                <w:bCs/>
                <w:color w:val="000000" w:themeColor="text1"/>
              </w:rPr>
              <w:t xml:space="preserve"> </w:t>
            </w:r>
          </w:p>
          <w:p w14:paraId="4189D3AE" w14:textId="77777777" w:rsidR="00DB4121" w:rsidRDefault="00DB4121" w:rsidP="0086613F">
            <w:pPr>
              <w:jc w:val="both"/>
              <w:rPr>
                <w:rFonts w:cstheme="minorHAnsi"/>
                <w:b/>
                <w:color w:val="000000" w:themeColor="text1"/>
              </w:rPr>
            </w:pPr>
          </w:p>
          <w:p w14:paraId="2AEC1188" w14:textId="1A844F63" w:rsidR="00DB4121" w:rsidRPr="00EC6BD3" w:rsidRDefault="003A0148" w:rsidP="0086613F">
            <w:pPr>
              <w:jc w:val="both"/>
              <w:rPr>
                <w:rFonts w:cstheme="minorHAnsi"/>
                <w:bCs/>
              </w:rPr>
            </w:pPr>
            <w:r w:rsidRPr="00EC6BD3">
              <w:rPr>
                <w:rFonts w:cstheme="minorHAnsi"/>
                <w:bCs/>
              </w:rPr>
              <w:t>Wh</w:t>
            </w:r>
            <w:r w:rsidR="00685D72" w:rsidRPr="00EC6BD3">
              <w:rPr>
                <w:rFonts w:cstheme="minorHAnsi"/>
                <w:bCs/>
              </w:rPr>
              <w:t>ich</w:t>
            </w:r>
            <w:r w:rsidRPr="00EC6BD3">
              <w:rPr>
                <w:rFonts w:cstheme="minorHAnsi"/>
                <w:bCs/>
              </w:rPr>
              <w:t xml:space="preserve">ever </w:t>
            </w:r>
            <w:r w:rsidR="00685D72" w:rsidRPr="00EC6BD3">
              <w:rPr>
                <w:rFonts w:cstheme="minorHAnsi"/>
                <w:bCs/>
              </w:rPr>
              <w:t xml:space="preserve">part of the EFM team </w:t>
            </w:r>
            <w:r w:rsidRPr="00EC6BD3">
              <w:rPr>
                <w:rFonts w:cstheme="minorHAnsi"/>
                <w:bCs/>
              </w:rPr>
              <w:t xml:space="preserve">you work </w:t>
            </w:r>
            <w:r w:rsidR="00685D72" w:rsidRPr="00EC6BD3">
              <w:rPr>
                <w:rFonts w:cstheme="minorHAnsi"/>
                <w:bCs/>
              </w:rPr>
              <w:t>within Moorfields</w:t>
            </w:r>
            <w:r w:rsidRPr="00EC6BD3">
              <w:rPr>
                <w:rFonts w:cstheme="minorHAnsi"/>
                <w:bCs/>
              </w:rPr>
              <w:t xml:space="preserve">, </w:t>
            </w:r>
            <w:r w:rsidR="00685D72" w:rsidRPr="00EC6BD3">
              <w:rPr>
                <w:rFonts w:cstheme="minorHAnsi"/>
                <w:bCs/>
              </w:rPr>
              <w:t>team members</w:t>
            </w:r>
            <w:r w:rsidRPr="00EC6BD3">
              <w:rPr>
                <w:rFonts w:cstheme="minorHAnsi"/>
                <w:bCs/>
              </w:rPr>
              <w:t xml:space="preserve"> are valued and contribute to our purpose </w:t>
            </w:r>
            <w:r w:rsidR="00EC6BD3" w:rsidRPr="00EC6BD3">
              <w:rPr>
                <w:rFonts w:cstheme="minorHAnsi"/>
                <w:bCs/>
              </w:rPr>
              <w:t>-</w:t>
            </w:r>
            <w:r w:rsidRPr="00EC6BD3">
              <w:rPr>
                <w:rFonts w:cstheme="minorHAnsi"/>
                <w:bCs/>
              </w:rPr>
              <w:t xml:space="preserve"> </w:t>
            </w:r>
            <w:r w:rsidRPr="00EC6BD3">
              <w:rPr>
                <w:rFonts w:cstheme="minorHAnsi"/>
                <w:bCs/>
                <w:i/>
                <w:iCs/>
              </w:rPr>
              <w:t>‘</w:t>
            </w:r>
            <w:r w:rsidR="00EC6BD3" w:rsidRPr="00EC6BD3">
              <w:rPr>
                <w:rFonts w:cstheme="minorHAnsi"/>
                <w:bCs/>
                <w:i/>
                <w:iCs/>
              </w:rPr>
              <w:t>working together to discover, develop and deliver excellent eye care, sustainably and at scale’</w:t>
            </w:r>
            <w:r w:rsidRPr="00EC6BD3">
              <w:rPr>
                <w:rFonts w:cstheme="minorHAnsi"/>
                <w:bCs/>
                <w:i/>
                <w:iCs/>
              </w:rPr>
              <w:t xml:space="preserve">. </w:t>
            </w:r>
          </w:p>
          <w:p w14:paraId="3D6967A5" w14:textId="77777777" w:rsidR="00DB4121" w:rsidRDefault="00DB4121" w:rsidP="0086613F">
            <w:pPr>
              <w:jc w:val="both"/>
              <w:rPr>
                <w:rFonts w:cstheme="minorHAnsi"/>
                <w:b/>
                <w:color w:val="000000" w:themeColor="text1"/>
              </w:rPr>
            </w:pPr>
          </w:p>
          <w:p w14:paraId="1C2F5C86" w14:textId="77777777" w:rsidR="00DB4121" w:rsidRDefault="00DB4121" w:rsidP="0086613F">
            <w:pPr>
              <w:jc w:val="both"/>
              <w:rPr>
                <w:rFonts w:cstheme="minorHAnsi"/>
                <w:b/>
                <w:color w:val="000000" w:themeColor="text1"/>
              </w:rPr>
            </w:pPr>
          </w:p>
          <w:p w14:paraId="5FFD4DC7" w14:textId="77777777" w:rsidR="00DB4121" w:rsidRDefault="00DB4121" w:rsidP="0086613F">
            <w:pPr>
              <w:jc w:val="both"/>
              <w:rPr>
                <w:rFonts w:cstheme="minorHAnsi"/>
                <w:b/>
                <w:color w:val="000000" w:themeColor="text1"/>
              </w:rPr>
            </w:pPr>
          </w:p>
          <w:p w14:paraId="139DC7FA" w14:textId="77777777" w:rsidR="00DB4121" w:rsidRPr="00DB4121" w:rsidRDefault="00DB4121" w:rsidP="0086613F">
            <w:pPr>
              <w:jc w:val="both"/>
              <w:rPr>
                <w:rFonts w:cstheme="minorHAnsi"/>
                <w:b/>
                <w:color w:val="000000" w:themeColor="text1"/>
              </w:rPr>
            </w:pPr>
          </w:p>
        </w:tc>
      </w:tr>
    </w:tbl>
    <w:p w14:paraId="4BC9A5BA" w14:textId="77777777" w:rsidR="00E00D9E" w:rsidRDefault="00E00D9E" w:rsidP="001D02F1">
      <w:pPr>
        <w:spacing w:after="0" w:line="240" w:lineRule="auto"/>
        <w:jc w:val="both"/>
        <w:rPr>
          <w:sz w:val="24"/>
          <w:szCs w:val="24"/>
        </w:rPr>
      </w:pPr>
    </w:p>
    <w:sectPr w:rsidR="00E00D9E" w:rsidSect="00DB412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F2F3" w14:textId="77777777" w:rsidR="00BF106A" w:rsidRDefault="00BF106A" w:rsidP="00BF106A">
      <w:pPr>
        <w:spacing w:after="0" w:line="240" w:lineRule="auto"/>
      </w:pPr>
      <w:r>
        <w:separator/>
      </w:r>
    </w:p>
  </w:endnote>
  <w:endnote w:type="continuationSeparator" w:id="0">
    <w:p w14:paraId="54C37EB2" w14:textId="77777777" w:rsidR="00BF106A" w:rsidRDefault="00BF106A"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000B" w14:textId="77777777" w:rsidR="00BF106A" w:rsidRDefault="00BF106A" w:rsidP="00BF106A">
      <w:pPr>
        <w:spacing w:after="0" w:line="240" w:lineRule="auto"/>
      </w:pPr>
      <w:r>
        <w:separator/>
      </w:r>
    </w:p>
  </w:footnote>
  <w:footnote w:type="continuationSeparator" w:id="0">
    <w:p w14:paraId="1FBED064" w14:textId="77777777" w:rsidR="00BF106A" w:rsidRDefault="00BF106A"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9A30" w14:textId="77777777" w:rsidR="001D02F1" w:rsidRDefault="001D02F1" w:rsidP="00DB4121">
    <w:pPr>
      <w:pStyle w:val="Header"/>
      <w:tabs>
        <w:tab w:val="clear" w:pos="4513"/>
        <w:tab w:val="clear" w:pos="9026"/>
      </w:tabs>
      <w:jc w:val="center"/>
      <w:rPr>
        <w:b/>
        <w:sz w:val="28"/>
        <w:szCs w:val="28"/>
      </w:rPr>
    </w:pPr>
  </w:p>
  <w:p w14:paraId="577BE932" w14:textId="77777777" w:rsidR="001D02F1" w:rsidRDefault="001D02F1" w:rsidP="00DB4121">
    <w:pPr>
      <w:pStyle w:val="Header"/>
      <w:tabs>
        <w:tab w:val="clear" w:pos="4513"/>
        <w:tab w:val="clear" w:pos="9026"/>
      </w:tabs>
      <w:jc w:val="center"/>
      <w:rPr>
        <w:b/>
        <w:sz w:val="28"/>
        <w:szCs w:val="28"/>
      </w:rPr>
    </w:pPr>
  </w:p>
  <w:p w14:paraId="47AE0120" w14:textId="77777777"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14:anchorId="73742FC5" wp14:editId="4B5988CF">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14:anchorId="44E24AEF" wp14:editId="38619595">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8"/>
  </w:num>
  <w:num w:numId="5">
    <w:abstractNumId w:val="6"/>
  </w:num>
  <w:num w:numId="6">
    <w:abstractNumId w:val="3"/>
  </w:num>
  <w:num w:numId="7">
    <w:abstractNumId w:val="20"/>
  </w:num>
  <w:num w:numId="8">
    <w:abstractNumId w:val="26"/>
  </w:num>
  <w:num w:numId="9">
    <w:abstractNumId w:val="23"/>
  </w:num>
  <w:num w:numId="10">
    <w:abstractNumId w:val="19"/>
  </w:num>
  <w:num w:numId="11">
    <w:abstractNumId w:val="5"/>
  </w:num>
  <w:num w:numId="12">
    <w:abstractNumId w:val="14"/>
  </w:num>
  <w:num w:numId="13">
    <w:abstractNumId w:val="7"/>
  </w:num>
  <w:num w:numId="14">
    <w:abstractNumId w:val="17"/>
  </w:num>
  <w:num w:numId="15">
    <w:abstractNumId w:val="22"/>
  </w:num>
  <w:num w:numId="16">
    <w:abstractNumId w:val="1"/>
  </w:num>
  <w:num w:numId="17">
    <w:abstractNumId w:val="12"/>
  </w:num>
  <w:num w:numId="18">
    <w:abstractNumId w:val="13"/>
  </w:num>
  <w:num w:numId="19">
    <w:abstractNumId w:val="8"/>
  </w:num>
  <w:num w:numId="20">
    <w:abstractNumId w:val="10"/>
  </w:num>
  <w:num w:numId="21">
    <w:abstractNumId w:val="21"/>
  </w:num>
  <w:num w:numId="22">
    <w:abstractNumId w:val="24"/>
  </w:num>
  <w:num w:numId="23">
    <w:abstractNumId w:val="11"/>
  </w:num>
  <w:num w:numId="24">
    <w:abstractNumId w:val="9"/>
  </w:num>
  <w:num w:numId="25">
    <w:abstractNumId w:val="16"/>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6A"/>
    <w:rsid w:val="00021837"/>
    <w:rsid w:val="001D02F1"/>
    <w:rsid w:val="00230CC2"/>
    <w:rsid w:val="00231CAD"/>
    <w:rsid w:val="0024423E"/>
    <w:rsid w:val="002478C6"/>
    <w:rsid w:val="00275801"/>
    <w:rsid w:val="002C7BF2"/>
    <w:rsid w:val="002D660F"/>
    <w:rsid w:val="002E39DF"/>
    <w:rsid w:val="003A0148"/>
    <w:rsid w:val="003A1D2A"/>
    <w:rsid w:val="003C3D6C"/>
    <w:rsid w:val="00441ACB"/>
    <w:rsid w:val="004628D2"/>
    <w:rsid w:val="00482951"/>
    <w:rsid w:val="004855E2"/>
    <w:rsid w:val="004B3739"/>
    <w:rsid w:val="00541762"/>
    <w:rsid w:val="00557331"/>
    <w:rsid w:val="005866B6"/>
    <w:rsid w:val="00602D69"/>
    <w:rsid w:val="006106EE"/>
    <w:rsid w:val="00635434"/>
    <w:rsid w:val="00685D72"/>
    <w:rsid w:val="006A5C4F"/>
    <w:rsid w:val="006B4F15"/>
    <w:rsid w:val="006C2195"/>
    <w:rsid w:val="006E62B4"/>
    <w:rsid w:val="006E7192"/>
    <w:rsid w:val="006F480F"/>
    <w:rsid w:val="00793C49"/>
    <w:rsid w:val="007B3C6C"/>
    <w:rsid w:val="007E6034"/>
    <w:rsid w:val="008308CE"/>
    <w:rsid w:val="008978DF"/>
    <w:rsid w:val="008F044C"/>
    <w:rsid w:val="0096119E"/>
    <w:rsid w:val="00992C4D"/>
    <w:rsid w:val="009C3FCB"/>
    <w:rsid w:val="009D4BCE"/>
    <w:rsid w:val="009F591A"/>
    <w:rsid w:val="00AA0144"/>
    <w:rsid w:val="00AB0277"/>
    <w:rsid w:val="00AD1F27"/>
    <w:rsid w:val="00BF106A"/>
    <w:rsid w:val="00BF662F"/>
    <w:rsid w:val="00C8246F"/>
    <w:rsid w:val="00C93F10"/>
    <w:rsid w:val="00C94946"/>
    <w:rsid w:val="00CB54E9"/>
    <w:rsid w:val="00D174E4"/>
    <w:rsid w:val="00D23BCE"/>
    <w:rsid w:val="00D47CDA"/>
    <w:rsid w:val="00DB4121"/>
    <w:rsid w:val="00E00D9E"/>
    <w:rsid w:val="00E13680"/>
    <w:rsid w:val="00E310BE"/>
    <w:rsid w:val="00E64C92"/>
    <w:rsid w:val="00EC55D0"/>
    <w:rsid w:val="00EC6BD3"/>
    <w:rsid w:val="00F07D73"/>
    <w:rsid w:val="00F14D2E"/>
    <w:rsid w:val="00F75F2D"/>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6B957"/>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Booth Nigel [RCD]</cp:lastModifiedBy>
  <cp:revision>2</cp:revision>
  <dcterms:created xsi:type="dcterms:W3CDTF">2025-01-02T07:51:00Z</dcterms:created>
  <dcterms:modified xsi:type="dcterms:W3CDTF">2025-01-02T07:51:00Z</dcterms:modified>
</cp:coreProperties>
</file>